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</w:pPr>
    </w:p>
    <w:tbl>
      <w:tblPr>
        <w:tblW w:w="1007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3358"/>
        <w:gridCol w:w="3358"/>
        <w:gridCol w:w="3358"/>
      </w:tblGrid>
      <w:tr>
        <w:tblPrEx>
          <w:shd w:val="clear" w:color="auto" w:fill="ceddeb"/>
        </w:tblPrEx>
        <w:trPr>
          <w:trHeight w:val="1042" w:hRule="atLeast"/>
        </w:trPr>
        <w:tc>
          <w:tcPr>
            <w:tcW w:type="dxa" w:w="33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sz w:val="42"/>
                <w:szCs w:val="42"/>
                <w:rtl w:val="0"/>
                <w:lang w:val="en-US"/>
              </w:rPr>
              <w:t>Involvement with FOSB</w:t>
            </w:r>
          </w:p>
        </w:tc>
        <w:tc>
          <w:tcPr>
            <w:tcW w:type="dxa" w:w="33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sz w:val="42"/>
                <w:szCs w:val="42"/>
                <w:rtl w:val="0"/>
                <w:lang w:val="en-US"/>
              </w:rPr>
              <w:t>Learn from FOSB</w:t>
            </w:r>
          </w:p>
        </w:tc>
        <w:tc>
          <w:tcPr>
            <w:tcW w:type="dxa" w:w="33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sz w:val="42"/>
                <w:szCs w:val="42"/>
                <w:rtl w:val="0"/>
              </w:rPr>
              <w:t>FOSB Focus</w:t>
            </w:r>
          </w:p>
        </w:tc>
      </w:tr>
      <w:tr>
        <w:tblPrEx>
          <w:shd w:val="clear" w:color="auto" w:fill="ceddeb"/>
        </w:tblPrEx>
        <w:trPr>
          <w:trHeight w:val="2405" w:hRule="atLeast"/>
        </w:trPr>
        <w:tc>
          <w:tcPr>
            <w:tcW w:type="dxa" w:w="33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rtl w:val="0"/>
                <w:lang w:val="en-US"/>
              </w:rPr>
              <w:t xml:space="preserve">FOSB Logo- </w:t>
            </w:r>
          </w:p>
          <w:p>
            <w:pPr>
              <w:pStyle w:val="Table Style 2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>To ensure Fosb visibility across all committees and involvement</w:t>
            </w:r>
          </w:p>
          <w:p>
            <w:pPr>
              <w:pStyle w:val="Table Style 2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>Identification and clear messaging</w:t>
            </w:r>
          </w:p>
          <w:p>
            <w:pPr>
              <w:pStyle w:val="Table Style 2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>Use with all Fosb communication</w:t>
            </w:r>
          </w:p>
          <w:p>
            <w:pPr>
              <w:pStyle w:val="Table Style 2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>Fosb is parent group supporting school, connect the logos</w:t>
            </w:r>
          </w:p>
        </w:tc>
        <w:tc>
          <w:tcPr>
            <w:tcW w:type="dxa" w:w="33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rtl w:val="0"/>
                <w:lang w:val="en-US"/>
              </w:rPr>
              <w:t>Planned Topics Throughout Year-</w:t>
            </w:r>
          </w:p>
          <w:p>
            <w:pPr>
              <w:pStyle w:val="Table Style 2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>Connect Fosb committee work (PIE,directors/officers, monthly meetings, staff representation)</w:t>
            </w:r>
          </w:p>
          <w:p>
            <w:pPr>
              <w:pStyle w:val="Table Style 2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>2 Year Schedule</w:t>
            </w:r>
          </w:p>
          <w:p>
            <w:pPr>
              <w:pStyle w:val="Table Style 2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>1st year (2016-2017) assessments,</w:t>
            </w:r>
            <w:r>
              <w:rPr>
                <w:color w:val="ff2600"/>
                <w:u w:color="ff2600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>S/E</w:t>
            </w:r>
            <w:r>
              <w:rPr>
                <w:color w:val="ff2600"/>
                <w:u w:color="ff2600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>,social media</w:t>
            </w:r>
          </w:p>
        </w:tc>
        <w:tc>
          <w:tcPr>
            <w:tcW w:type="dxa" w:w="33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rtl w:val="0"/>
                <w:lang w:val="en-US"/>
              </w:rPr>
              <w:t>Communication Audit/Plan-</w:t>
            </w:r>
          </w:p>
          <w:p>
            <w:pPr>
              <w:pStyle w:val="Table Style 2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 xml:space="preserve">Assess current Fosb communications </w:t>
            </w:r>
          </w:p>
          <w:p>
            <w:pPr>
              <w:pStyle w:val="Table Style 2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>Reduce overlap and message fatigue</w:t>
            </w:r>
          </w:p>
          <w:p>
            <w:pPr>
              <w:pStyle w:val="Table Style 2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>Streamline messaging</w:t>
            </w:r>
          </w:p>
          <w:p>
            <w:pPr>
              <w:pStyle w:val="Table Style 2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>Sync plan with Fosb committees, Board of directors, volunteers</w:t>
            </w:r>
          </w:p>
        </w:tc>
      </w:tr>
      <w:tr>
        <w:tblPrEx>
          <w:shd w:val="clear" w:color="auto" w:fill="ceddeb"/>
        </w:tblPrEx>
        <w:trPr>
          <w:trHeight w:val="1685" w:hRule="atLeast"/>
        </w:trPr>
        <w:tc>
          <w:tcPr>
            <w:tcW w:type="dxa" w:w="33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rtl w:val="0"/>
                <w:lang w:val="en-US"/>
              </w:rPr>
              <w:t>Thank you Notes/Parent Praise-</w:t>
            </w:r>
          </w:p>
          <w:p>
            <w:pPr>
              <w:pStyle w:val="Table Style 2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>Gratitude and support of Volunteerism</w:t>
            </w:r>
          </w:p>
          <w:p>
            <w:pPr>
              <w:pStyle w:val="Table Style 2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>Volunteer retention</w:t>
            </w:r>
          </w:p>
          <w:p>
            <w:pPr>
              <w:pStyle w:val="Table Style 2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 xml:space="preserve">Simple and up front </w:t>
            </w:r>
          </w:p>
          <w:p>
            <w:pPr>
              <w:pStyle w:val="Table Style 2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>Spread the love!</w:t>
            </w:r>
          </w:p>
        </w:tc>
        <w:tc>
          <w:tcPr>
            <w:tcW w:type="dxa" w:w="33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rtl w:val="0"/>
                <w:lang w:val="en-US"/>
              </w:rPr>
              <w:t>Middle School Parent Mentors-</w:t>
            </w:r>
          </w:p>
          <w:p>
            <w:pPr>
              <w:pStyle w:val="Table Style 2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>Experienced 6th grade parent welcomes new parents</w:t>
            </w:r>
          </w:p>
          <w:p>
            <w:pPr>
              <w:pStyle w:val="Table Style 2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>Representative for homeroom</w:t>
            </w:r>
          </w:p>
          <w:p>
            <w:pPr>
              <w:pStyle w:val="Table Style 2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 xml:space="preserve">Creates </w:t>
            </w:r>
            <w:r>
              <w:rPr>
                <w:rtl w:val="0"/>
                <w:lang w:val="en-US"/>
              </w:rPr>
              <w:t>“</w:t>
            </w:r>
            <w:r>
              <w:rPr>
                <w:rtl w:val="0"/>
                <w:lang w:val="en-US"/>
              </w:rPr>
              <w:t>phone tree</w:t>
            </w:r>
            <w:r>
              <w:rPr>
                <w:rtl w:val="0"/>
                <w:lang w:val="en-US"/>
              </w:rPr>
              <w:t xml:space="preserve">” </w:t>
            </w:r>
          </w:p>
        </w:tc>
        <w:tc>
          <w:tcPr>
            <w:tcW w:type="dxa" w:w="33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rtl w:val="0"/>
                <w:lang w:val="en-US"/>
              </w:rPr>
              <w:t>Parent Education of FOSB-</w:t>
            </w:r>
          </w:p>
          <w:p>
            <w:pPr>
              <w:pStyle w:val="Table Style 2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>TBD</w:t>
            </w:r>
          </w:p>
        </w:tc>
      </w:tr>
      <w:tr>
        <w:tblPrEx>
          <w:shd w:val="clear" w:color="auto" w:fill="ceddeb"/>
        </w:tblPrEx>
        <w:trPr>
          <w:trHeight w:val="1445" w:hRule="atLeast"/>
        </w:trPr>
        <w:tc>
          <w:tcPr>
            <w:tcW w:type="dxa" w:w="33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rtl w:val="0"/>
                <w:lang w:val="en-US"/>
              </w:rPr>
              <w:t>Education at FOSB events-</w:t>
            </w:r>
          </w:p>
          <w:p>
            <w:pPr>
              <w:pStyle w:val="Table Style 2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>Committee/Event lead welcomes attendees with FOSB supported and current events</w:t>
            </w:r>
          </w:p>
          <w:p>
            <w:pPr>
              <w:pStyle w:val="Table Style 2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>Clear messaging</w:t>
            </w:r>
          </w:p>
        </w:tc>
        <w:tc>
          <w:tcPr>
            <w:tcW w:type="dxa" w:w="33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rtl w:val="0"/>
                <w:lang w:val="en-US"/>
              </w:rPr>
              <w:t>Kindergarten Parent Connects-</w:t>
            </w:r>
          </w:p>
          <w:p>
            <w:pPr>
              <w:pStyle w:val="Table Style 2"/>
              <w:numPr>
                <w:ilvl w:val="0"/>
                <w:numId w:val="8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>Family potluck sharing and social connections</w:t>
            </w:r>
          </w:p>
          <w:p>
            <w:pPr>
              <w:pStyle w:val="Table Style 2"/>
              <w:numPr>
                <w:ilvl w:val="0"/>
                <w:numId w:val="8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>Connect working parents and make meaning of it all</w:t>
            </w:r>
          </w:p>
        </w:tc>
        <w:tc>
          <w:tcPr>
            <w:tcW w:type="dxa" w:w="33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rtl w:val="0"/>
                <w:lang w:val="en-US"/>
              </w:rPr>
              <w:t>Expectations of Parents-</w:t>
            </w:r>
          </w:p>
          <w:p>
            <w:pPr>
              <w:pStyle w:val="Table Style 2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>TBD</w:t>
            </w:r>
          </w:p>
        </w:tc>
      </w:tr>
      <w:tr>
        <w:tblPrEx>
          <w:shd w:val="clear" w:color="auto" w:fill="ceddeb"/>
        </w:tblPrEx>
        <w:trPr>
          <w:trHeight w:val="1450" w:hRule="atLeast"/>
        </w:trPr>
        <w:tc>
          <w:tcPr>
            <w:tcW w:type="dxa" w:w="33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rtl w:val="0"/>
                <w:lang w:val="en-US"/>
              </w:rPr>
              <w:t>Sandwich Boards-</w:t>
            </w:r>
          </w:p>
          <w:p>
            <w:pPr>
              <w:pStyle w:val="Table Style 2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>advertising events/important information</w:t>
            </w:r>
          </w:p>
          <w:p>
            <w:pPr>
              <w:pStyle w:val="Table Style 2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>Fosb committees, board of directors and volunteer coordinators</w:t>
            </w:r>
          </w:p>
        </w:tc>
        <w:tc>
          <w:tcPr>
            <w:tcW w:type="dxa" w:w="33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rtl w:val="0"/>
                <w:lang w:val="en-US"/>
              </w:rPr>
              <w:t>Visual Representation of FOSB Purposes-</w:t>
            </w:r>
          </w:p>
          <w:p>
            <w:pPr>
              <w:pStyle w:val="Table Style 2"/>
              <w:numPr>
                <w:ilvl w:val="0"/>
                <w:numId w:val="11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>clarify and simplify Fosb purposes</w:t>
            </w:r>
          </w:p>
        </w:tc>
      </w:tr>
      <w:tr>
        <w:tblPrEx>
          <w:shd w:val="clear" w:color="auto" w:fill="ceddeb"/>
        </w:tblPrEx>
        <w:trPr>
          <w:trHeight w:val="1210" w:hRule="atLeast"/>
        </w:trPr>
        <w:tc>
          <w:tcPr>
            <w:tcW w:type="dxa" w:w="33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rtl w:val="0"/>
                <w:lang w:val="en-US"/>
              </w:rPr>
              <w:t>FOSB Quarterly Flyer-</w:t>
            </w:r>
          </w:p>
          <w:p>
            <w:pPr>
              <w:pStyle w:val="Table Style 2"/>
              <w:numPr>
                <w:ilvl w:val="0"/>
                <w:numId w:val="12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>What is Fosb</w:t>
            </w:r>
          </w:p>
          <w:p>
            <w:pPr>
              <w:pStyle w:val="Table Style 2"/>
              <w:numPr>
                <w:ilvl w:val="0"/>
                <w:numId w:val="12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>Re-Invitation to participate</w:t>
            </w:r>
          </w:p>
          <w:p>
            <w:pPr>
              <w:pStyle w:val="Table Style 2"/>
              <w:numPr>
                <w:ilvl w:val="0"/>
                <w:numId w:val="12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 xml:space="preserve">Keeping the word out, spreading roots, growing </w:t>
            </w:r>
          </w:p>
        </w:tc>
        <w:tc>
          <w:tcPr>
            <w:tcW w:type="dxa" w:w="33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b w:val="1"/>
                <w:bCs w:val="1"/>
                <w:rtl w:val="0"/>
                <w:lang w:val="en-US"/>
              </w:rPr>
              <w:t>Repeat Survey-</w:t>
            </w:r>
          </w:p>
          <w:p>
            <w:pPr>
              <w:pStyle w:val="Table Style 2"/>
              <w:numPr>
                <w:ilvl w:val="0"/>
                <w:numId w:val="13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>Assess current goals</w:t>
            </w:r>
          </w:p>
          <w:p>
            <w:pPr>
              <w:pStyle w:val="Table Style 2"/>
              <w:numPr>
                <w:ilvl w:val="0"/>
                <w:numId w:val="13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>Review action items</w:t>
            </w:r>
          </w:p>
          <w:p>
            <w:pPr>
              <w:pStyle w:val="Table Style 2"/>
              <w:numPr>
                <w:ilvl w:val="0"/>
                <w:numId w:val="13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>Align priorities</w:t>
            </w:r>
          </w:p>
          <w:p>
            <w:pPr>
              <w:pStyle w:val="Table Style 2"/>
              <w:numPr>
                <w:ilvl w:val="0"/>
                <w:numId w:val="13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>Set plans/focus for new year</w:t>
            </w:r>
          </w:p>
        </w:tc>
      </w:tr>
    </w:tbl>
    <w:p>
      <w:pPr>
        <w:pStyle w:val="Body"/>
      </w:pP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enter" w:pos="4680"/>
        <w:tab w:val="right" w:pos="9340"/>
        <w:tab w:val="clear" w:pos="9020"/>
      </w:tabs>
    </w:pPr>
    <w:r>
      <w:tab/>
    </w:r>
    <w:r>
      <w:rPr>
        <w:rtl w:val="0"/>
        <w:lang w:val="en-US"/>
      </w:rPr>
      <w:t>FOSB Annual Retreat Review and Action Items</w:t>
    </w:r>
  </w:p>
  <w:p>
    <w:pPr>
      <w:pStyle w:val="Header &amp; Footer"/>
      <w:tabs>
        <w:tab w:val="center" w:pos="4680"/>
        <w:tab w:val="right" w:pos="9340"/>
        <w:tab w:val="clear" w:pos="9020"/>
      </w:tabs>
    </w:pPr>
    <w:r>
      <w:tab/>
    </w:r>
    <w:r>
      <w:rPr>
        <w:rtl w:val="0"/>
        <w:lang w:val="en-US"/>
      </w:rPr>
      <w:t>January 30 2016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16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4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2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0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88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6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4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2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0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16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4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2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0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88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6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4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2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0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ind w:left="16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4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2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0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88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6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4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2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0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ind w:left="16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4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2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0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88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6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4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2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0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•"/>
      <w:lvlJc w:val="left"/>
      <w:pPr>
        <w:ind w:left="16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4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2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0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88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6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4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2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0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•"/>
      <w:lvlJc w:val="left"/>
      <w:pPr>
        <w:ind w:left="16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4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2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0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88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6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4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2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0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•"/>
      <w:lvlJc w:val="left"/>
      <w:pPr>
        <w:ind w:left="16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4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2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0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88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6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4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2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0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•"/>
      <w:lvlJc w:val="left"/>
      <w:pPr>
        <w:ind w:left="16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4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2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0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88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6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4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2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0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bullet"/>
      <w:suff w:val="tab"/>
      <w:lvlText w:val="•"/>
      <w:lvlJc w:val="left"/>
      <w:pPr>
        <w:ind w:left="16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4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2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0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88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6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4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2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0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bullet"/>
      <w:suff w:val="tab"/>
      <w:lvlText w:val="•"/>
      <w:lvlJc w:val="left"/>
      <w:pPr>
        <w:ind w:left="16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4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2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0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88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6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4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2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0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bullet"/>
      <w:suff w:val="tab"/>
      <w:lvlText w:val="•"/>
      <w:lvlJc w:val="left"/>
      <w:pPr>
        <w:ind w:left="16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4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2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0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88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6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4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2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0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bullet"/>
      <w:suff w:val="tab"/>
      <w:lvlText w:val="•"/>
      <w:lvlJc w:val="left"/>
      <w:pPr>
        <w:ind w:left="16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4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2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0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88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6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4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2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0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lvl w:ilvl="0">
      <w:start w:val="1"/>
      <w:numFmt w:val="bullet"/>
      <w:suff w:val="tab"/>
      <w:lvlText w:val="•"/>
      <w:lvlJc w:val="left"/>
      <w:pPr>
        <w:ind w:left="16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4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2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0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88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6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4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2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0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